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017B" w14:textId="77777777" w:rsidR="00446777" w:rsidRPr="00446777" w:rsidRDefault="006B7DBF" w:rsidP="00446777">
      <w:pPr>
        <w:jc w:val="center"/>
        <w:rPr>
          <w:rFonts w:ascii="Times New Roman" w:hAnsi="Times New Roman" w:cs="Times New Roman"/>
          <w:b/>
          <w:bCs/>
        </w:rPr>
      </w:pPr>
      <w:r w:rsidRPr="00446777">
        <w:rPr>
          <w:rFonts w:ascii="Times New Roman" w:eastAsia="Times New Roman" w:hAnsi="Times New Roman" w:cs="Times New Roman"/>
          <w:color w:val="333333"/>
          <w:sz w:val="24"/>
          <w:szCs w:val="24"/>
        </w:rPr>
        <w:t> </w:t>
      </w:r>
      <w:r w:rsidR="00446777" w:rsidRPr="00446777">
        <w:rPr>
          <w:rFonts w:ascii="Times New Roman" w:hAnsi="Times New Roman" w:cs="Times New Roman"/>
          <w:b/>
          <w:bCs/>
        </w:rPr>
        <w:t xml:space="preserve">Questions and Answers: </w:t>
      </w:r>
    </w:p>
    <w:p w14:paraId="17BDAA9F" w14:textId="77777777" w:rsidR="00446777" w:rsidRPr="00446777" w:rsidRDefault="00446777" w:rsidP="00446777">
      <w:pPr>
        <w:jc w:val="center"/>
        <w:rPr>
          <w:rFonts w:ascii="Times New Roman" w:hAnsi="Times New Roman" w:cs="Times New Roman"/>
          <w:b/>
          <w:bCs/>
        </w:rPr>
      </w:pPr>
      <w:r w:rsidRPr="00446777">
        <w:rPr>
          <w:rFonts w:ascii="Times New Roman" w:hAnsi="Times New Roman" w:cs="Times New Roman"/>
          <w:b/>
          <w:bCs/>
        </w:rPr>
        <w:t xml:space="preserve">RFP – Provision of Digital Trading Platform Services (USAID EDGE) </w:t>
      </w:r>
    </w:p>
    <w:tbl>
      <w:tblPr>
        <w:tblStyle w:val="TableGrid"/>
        <w:tblW w:w="0" w:type="auto"/>
        <w:tblLook w:val="04A0" w:firstRow="1" w:lastRow="0" w:firstColumn="1" w:lastColumn="0" w:noHBand="0" w:noVBand="1"/>
      </w:tblPr>
      <w:tblGrid>
        <w:gridCol w:w="4675"/>
        <w:gridCol w:w="4675"/>
      </w:tblGrid>
      <w:tr w:rsidR="00446777" w:rsidRPr="00446777" w14:paraId="0BE97502" w14:textId="77777777" w:rsidTr="00CA1D57">
        <w:tc>
          <w:tcPr>
            <w:tcW w:w="4675" w:type="dxa"/>
          </w:tcPr>
          <w:p w14:paraId="62474E8E" w14:textId="77777777" w:rsidR="00446777" w:rsidRPr="00446777" w:rsidRDefault="00446777" w:rsidP="00CA1D57">
            <w:pPr>
              <w:rPr>
                <w:rFonts w:ascii="Times New Roman" w:hAnsi="Times New Roman" w:cs="Times New Roman"/>
                <w:b/>
                <w:bCs/>
              </w:rPr>
            </w:pPr>
            <w:r w:rsidRPr="00446777">
              <w:rPr>
                <w:rFonts w:ascii="Times New Roman" w:hAnsi="Times New Roman" w:cs="Times New Roman"/>
                <w:b/>
                <w:bCs/>
              </w:rPr>
              <w:t xml:space="preserve">Question </w:t>
            </w:r>
          </w:p>
        </w:tc>
        <w:tc>
          <w:tcPr>
            <w:tcW w:w="4675" w:type="dxa"/>
          </w:tcPr>
          <w:p w14:paraId="649D91A6" w14:textId="77777777" w:rsidR="00446777" w:rsidRPr="00446777" w:rsidRDefault="00446777" w:rsidP="00CA1D57">
            <w:pPr>
              <w:rPr>
                <w:rFonts w:ascii="Times New Roman" w:hAnsi="Times New Roman" w:cs="Times New Roman"/>
                <w:b/>
                <w:bCs/>
              </w:rPr>
            </w:pPr>
            <w:r w:rsidRPr="00446777">
              <w:rPr>
                <w:rFonts w:ascii="Times New Roman" w:hAnsi="Times New Roman" w:cs="Times New Roman"/>
                <w:b/>
                <w:bCs/>
              </w:rPr>
              <w:t xml:space="preserve">Answers </w:t>
            </w:r>
          </w:p>
        </w:tc>
      </w:tr>
      <w:tr w:rsidR="00446777" w:rsidRPr="00446777" w14:paraId="0BF61CD7" w14:textId="77777777" w:rsidTr="00CA1D57">
        <w:tc>
          <w:tcPr>
            <w:tcW w:w="4675" w:type="dxa"/>
          </w:tcPr>
          <w:p w14:paraId="163A9031" w14:textId="77777777" w:rsidR="00446777" w:rsidRPr="00446777" w:rsidRDefault="00446777" w:rsidP="00CA1D57">
            <w:pPr>
              <w:rPr>
                <w:rFonts w:ascii="Times New Roman" w:hAnsi="Times New Roman" w:cs="Times New Roman"/>
                <w:b/>
                <w:bCs/>
              </w:rPr>
            </w:pPr>
            <w:r w:rsidRPr="00446777">
              <w:rPr>
                <w:rFonts w:ascii="Times New Roman" w:hAnsi="Times New Roman" w:cs="Times New Roman"/>
                <w:b/>
                <w:bCs/>
              </w:rPr>
              <w:t xml:space="preserve">1. </w:t>
            </w:r>
            <w:r w:rsidRPr="00446777">
              <w:rPr>
                <w:rFonts w:ascii="Times New Roman" w:hAnsi="Times New Roman" w:cs="Times New Roman"/>
              </w:rPr>
              <w:t>Could you please confirm if the period of performance is 4 months or 5 months?</w:t>
            </w:r>
          </w:p>
        </w:tc>
        <w:tc>
          <w:tcPr>
            <w:tcW w:w="4675" w:type="dxa"/>
          </w:tcPr>
          <w:p w14:paraId="5FBA5FB2" w14:textId="77777777" w:rsidR="00446777" w:rsidRPr="00446777" w:rsidRDefault="00446777" w:rsidP="00CA1D57">
            <w:pPr>
              <w:rPr>
                <w:rFonts w:ascii="Times New Roman" w:hAnsi="Times New Roman" w:cs="Times New Roman"/>
                <w:lang w:val="en-GB"/>
              </w:rPr>
            </w:pPr>
            <w:r w:rsidRPr="00446777">
              <w:rPr>
                <w:rFonts w:ascii="Times New Roman" w:hAnsi="Times New Roman" w:cs="Times New Roman"/>
                <w:b/>
                <w:bCs/>
                <w:lang w:val="en-GB"/>
              </w:rPr>
              <w:t>1.</w:t>
            </w:r>
            <w:r w:rsidRPr="00446777">
              <w:rPr>
                <w:rFonts w:ascii="Times New Roman" w:hAnsi="Times New Roman" w:cs="Times New Roman"/>
                <w:lang w:val="en-GB"/>
              </w:rPr>
              <w:t xml:space="preserve"> The period of performance is five months, but not go beyond May 15, 2024.  During this period, the selected online platform service provider will work on the modification / redesign of its current platform, or design a new platform, depending on provider’s proposed approach.</w:t>
            </w:r>
          </w:p>
        </w:tc>
      </w:tr>
      <w:tr w:rsidR="00446777" w:rsidRPr="00446777" w14:paraId="7DA40781" w14:textId="77777777" w:rsidTr="00CA1D57">
        <w:tc>
          <w:tcPr>
            <w:tcW w:w="4675" w:type="dxa"/>
          </w:tcPr>
          <w:p w14:paraId="7BBD0A2A" w14:textId="77777777" w:rsidR="00446777" w:rsidRPr="00446777" w:rsidRDefault="00446777" w:rsidP="00CA1D57">
            <w:pPr>
              <w:rPr>
                <w:rFonts w:ascii="Times New Roman" w:hAnsi="Times New Roman" w:cs="Times New Roman"/>
                <w:b/>
                <w:bCs/>
              </w:rPr>
            </w:pPr>
            <w:r w:rsidRPr="00446777">
              <w:rPr>
                <w:rFonts w:ascii="Times New Roman" w:hAnsi="Times New Roman" w:cs="Times New Roman"/>
                <w:b/>
                <w:bCs/>
              </w:rPr>
              <w:t xml:space="preserve">2. </w:t>
            </w:r>
            <w:r w:rsidRPr="00446777">
              <w:rPr>
                <w:rFonts w:ascii="Times New Roman" w:hAnsi="Times New Roman" w:cs="Times New Roman"/>
              </w:rPr>
              <w:t>It is written that the platform should offer solutions with third-party shipping and logistics. Does this mean that these companies will be part of the platform or how is this planned to be done?</w:t>
            </w:r>
          </w:p>
        </w:tc>
        <w:tc>
          <w:tcPr>
            <w:tcW w:w="4675" w:type="dxa"/>
          </w:tcPr>
          <w:p w14:paraId="1E3BF7F4" w14:textId="77777777" w:rsidR="00446777" w:rsidRPr="00446777" w:rsidRDefault="00446777" w:rsidP="00CA1D57">
            <w:pPr>
              <w:rPr>
                <w:rFonts w:ascii="Times New Roman" w:hAnsi="Times New Roman" w:cs="Times New Roman"/>
                <w:lang w:val="en-GB"/>
              </w:rPr>
            </w:pPr>
            <w:r w:rsidRPr="00446777">
              <w:rPr>
                <w:rFonts w:ascii="Times New Roman" w:hAnsi="Times New Roman" w:cs="Times New Roman"/>
                <w:b/>
                <w:bCs/>
                <w:lang w:val="en-GB"/>
              </w:rPr>
              <w:t>2.</w:t>
            </w:r>
            <w:r w:rsidRPr="00446777">
              <w:rPr>
                <w:rFonts w:ascii="Times New Roman" w:hAnsi="Times New Roman" w:cs="Times New Roman"/>
                <w:lang w:val="en-GB"/>
              </w:rPr>
              <w:t xml:space="preserve"> The platform should offer information about the possibilities for shipping and logistics.</w:t>
            </w:r>
          </w:p>
        </w:tc>
      </w:tr>
      <w:tr w:rsidR="00446777" w:rsidRPr="00446777" w14:paraId="08D37DA4" w14:textId="77777777" w:rsidTr="00CA1D57">
        <w:tc>
          <w:tcPr>
            <w:tcW w:w="4675" w:type="dxa"/>
          </w:tcPr>
          <w:p w14:paraId="18C0E517" w14:textId="77777777" w:rsidR="00446777" w:rsidRPr="00446777" w:rsidRDefault="00446777" w:rsidP="00CA1D57">
            <w:pPr>
              <w:rPr>
                <w:rFonts w:ascii="Times New Roman" w:hAnsi="Times New Roman" w:cs="Times New Roman"/>
                <w:b/>
                <w:bCs/>
              </w:rPr>
            </w:pPr>
            <w:r w:rsidRPr="00446777">
              <w:rPr>
                <w:rFonts w:ascii="Times New Roman" w:hAnsi="Times New Roman" w:cs="Times New Roman"/>
                <w:b/>
                <w:bCs/>
              </w:rPr>
              <w:t xml:space="preserve">3. </w:t>
            </w:r>
            <w:r w:rsidRPr="00446777">
              <w:rPr>
                <w:rFonts w:ascii="Times New Roman" w:hAnsi="Times New Roman" w:cs="Times New Roman"/>
              </w:rPr>
              <w:t>Is this a feature or provider should offer a person that will support customers? In case this is a person, how long it is supposed to support?</w:t>
            </w:r>
          </w:p>
        </w:tc>
        <w:tc>
          <w:tcPr>
            <w:tcW w:w="4675" w:type="dxa"/>
          </w:tcPr>
          <w:p w14:paraId="3B215555" w14:textId="77777777" w:rsidR="00446777" w:rsidRPr="00446777" w:rsidRDefault="00446777" w:rsidP="00CA1D57">
            <w:pPr>
              <w:rPr>
                <w:rFonts w:ascii="Times New Roman" w:hAnsi="Times New Roman" w:cs="Times New Roman"/>
                <w:lang w:val="en-GB"/>
              </w:rPr>
            </w:pPr>
            <w:r w:rsidRPr="00446777">
              <w:rPr>
                <w:rFonts w:ascii="Times New Roman" w:hAnsi="Times New Roman" w:cs="Times New Roman"/>
                <w:b/>
                <w:bCs/>
                <w:lang w:val="en-GB"/>
              </w:rPr>
              <w:t>3.</w:t>
            </w:r>
            <w:r w:rsidRPr="00446777">
              <w:rPr>
                <w:rFonts w:ascii="Times New Roman" w:hAnsi="Times New Roman" w:cs="Times New Roman"/>
                <w:lang w:val="en-GB"/>
              </w:rPr>
              <w:t xml:space="preserve"> The service provider should offer a person(s) that will support the customers in the languages mentioned in the RFP. The service provider will have a sustainability plan that will cover the costs for that person(s) and other costs that may arise after the platform has been put into function. This may include charging the companies who use the platform to offer/sell products.</w:t>
            </w:r>
          </w:p>
        </w:tc>
      </w:tr>
      <w:tr w:rsidR="00446777" w:rsidRPr="00446777" w14:paraId="090B1237" w14:textId="77777777" w:rsidTr="00CA1D57">
        <w:tc>
          <w:tcPr>
            <w:tcW w:w="4675" w:type="dxa"/>
          </w:tcPr>
          <w:p w14:paraId="3487B54D" w14:textId="77777777" w:rsidR="00446777" w:rsidRPr="00446777" w:rsidRDefault="00446777" w:rsidP="00CA1D57">
            <w:pPr>
              <w:rPr>
                <w:rFonts w:ascii="Times New Roman" w:hAnsi="Times New Roman" w:cs="Times New Roman"/>
                <w:b/>
                <w:bCs/>
              </w:rPr>
            </w:pPr>
            <w:r w:rsidRPr="00446777">
              <w:rPr>
                <w:rFonts w:ascii="Times New Roman" w:hAnsi="Times New Roman" w:cs="Times New Roman"/>
                <w:b/>
                <w:bCs/>
              </w:rPr>
              <w:t xml:space="preserve">4. </w:t>
            </w:r>
            <w:r w:rsidRPr="00446777">
              <w:rPr>
                <w:rFonts w:ascii="Times New Roman" w:hAnsi="Times New Roman" w:cs="Times New Roman"/>
              </w:rPr>
              <w:t>What is the period for maintenance and support?</w:t>
            </w:r>
          </w:p>
        </w:tc>
        <w:tc>
          <w:tcPr>
            <w:tcW w:w="4675" w:type="dxa"/>
          </w:tcPr>
          <w:p w14:paraId="554311B4" w14:textId="77777777" w:rsidR="00446777" w:rsidRPr="00446777" w:rsidRDefault="00446777" w:rsidP="00CA1D57">
            <w:pPr>
              <w:rPr>
                <w:rFonts w:ascii="Times New Roman" w:hAnsi="Times New Roman" w:cs="Times New Roman"/>
                <w:lang w:val="en-GB"/>
              </w:rPr>
            </w:pPr>
            <w:r w:rsidRPr="00446777">
              <w:rPr>
                <w:rFonts w:ascii="Times New Roman" w:hAnsi="Times New Roman" w:cs="Times New Roman"/>
                <w:b/>
                <w:bCs/>
                <w:lang w:val="en-GB"/>
              </w:rPr>
              <w:t>4.</w:t>
            </w:r>
            <w:r w:rsidRPr="00446777">
              <w:rPr>
                <w:rFonts w:ascii="Times New Roman" w:hAnsi="Times New Roman" w:cs="Times New Roman"/>
                <w:lang w:val="en-GB"/>
              </w:rPr>
              <w:t xml:space="preserve"> EDGE will provide support to the service provider to modify its current platform, or design new platform, within the budget range mentioned in the RFP. The platform is owned by the service provider, who is expected to provide continuous service to the companies.  This is an extension to the provider’s current activities. Maintenance and support are part of the provider’s regular activities. The service provider will have a sustainability plan that will cover the costs for maintenance and support and other costs that may arise after the platform has been put into function.  </w:t>
            </w:r>
          </w:p>
        </w:tc>
      </w:tr>
      <w:tr w:rsidR="00446777" w:rsidRPr="00446777" w14:paraId="27BE856B" w14:textId="77777777" w:rsidTr="00CA1D57">
        <w:tc>
          <w:tcPr>
            <w:tcW w:w="4675" w:type="dxa"/>
          </w:tcPr>
          <w:p w14:paraId="08C68A12" w14:textId="77777777" w:rsidR="00446777" w:rsidRPr="00446777" w:rsidRDefault="00446777" w:rsidP="00CA1D57">
            <w:pPr>
              <w:rPr>
                <w:rFonts w:ascii="Times New Roman" w:hAnsi="Times New Roman" w:cs="Times New Roman"/>
                <w:b/>
                <w:bCs/>
              </w:rPr>
            </w:pPr>
            <w:r w:rsidRPr="00446777">
              <w:rPr>
                <w:rFonts w:ascii="Times New Roman" w:hAnsi="Times New Roman" w:cs="Times New Roman"/>
                <w:b/>
                <w:bCs/>
              </w:rPr>
              <w:t xml:space="preserve">5. </w:t>
            </w:r>
            <w:r w:rsidRPr="00446777">
              <w:rPr>
                <w:rFonts w:ascii="Times New Roman" w:hAnsi="Times New Roman" w:cs="Times New Roman"/>
              </w:rPr>
              <w:t>Who will be responsible for marketing on social media and other platforms?</w:t>
            </w:r>
          </w:p>
        </w:tc>
        <w:tc>
          <w:tcPr>
            <w:tcW w:w="4675" w:type="dxa"/>
          </w:tcPr>
          <w:p w14:paraId="43AB8FF5" w14:textId="77777777" w:rsidR="00446777" w:rsidRPr="00446777" w:rsidRDefault="00446777" w:rsidP="00CA1D57">
            <w:pPr>
              <w:rPr>
                <w:rFonts w:ascii="Times New Roman" w:hAnsi="Times New Roman" w:cs="Times New Roman"/>
              </w:rPr>
            </w:pPr>
            <w:r w:rsidRPr="00446777">
              <w:rPr>
                <w:rFonts w:ascii="Times New Roman" w:hAnsi="Times New Roman" w:cs="Times New Roman"/>
                <w:b/>
                <w:bCs/>
              </w:rPr>
              <w:t>5.</w:t>
            </w:r>
            <w:r w:rsidRPr="00446777">
              <w:rPr>
                <w:rFonts w:ascii="Times New Roman" w:hAnsi="Times New Roman" w:cs="Times New Roman"/>
              </w:rPr>
              <w:t xml:space="preserve"> The responsibility for marketing on social media and other platforms is the responsibility of the online trading platform service provider. This should be part of the provider’s sustainability plan.</w:t>
            </w:r>
          </w:p>
        </w:tc>
      </w:tr>
      <w:tr w:rsidR="00446777" w:rsidRPr="00446777" w14:paraId="76C22101" w14:textId="77777777" w:rsidTr="00CA1D57">
        <w:tc>
          <w:tcPr>
            <w:tcW w:w="4675" w:type="dxa"/>
          </w:tcPr>
          <w:p w14:paraId="5311246D" w14:textId="77777777" w:rsidR="00446777" w:rsidRPr="00446777" w:rsidRDefault="00446777" w:rsidP="00CA1D57">
            <w:pPr>
              <w:rPr>
                <w:rFonts w:ascii="Times New Roman" w:hAnsi="Times New Roman" w:cs="Times New Roman"/>
                <w:b/>
                <w:bCs/>
              </w:rPr>
            </w:pPr>
            <w:r w:rsidRPr="00446777">
              <w:rPr>
                <w:rFonts w:ascii="Times New Roman" w:hAnsi="Times New Roman" w:cs="Times New Roman"/>
                <w:b/>
                <w:bCs/>
              </w:rPr>
              <w:t xml:space="preserve">6. </w:t>
            </w:r>
            <w:r w:rsidRPr="00446777">
              <w:rPr>
                <w:rFonts w:ascii="Times New Roman" w:hAnsi="Times New Roman" w:cs="Times New Roman"/>
              </w:rPr>
              <w:t>Who will provide hosting and domain?</w:t>
            </w:r>
          </w:p>
        </w:tc>
        <w:tc>
          <w:tcPr>
            <w:tcW w:w="4675" w:type="dxa"/>
          </w:tcPr>
          <w:p w14:paraId="53AF392C" w14:textId="77777777" w:rsidR="00446777" w:rsidRPr="00446777" w:rsidRDefault="00446777" w:rsidP="00CA1D57">
            <w:pPr>
              <w:rPr>
                <w:rFonts w:ascii="Times New Roman" w:hAnsi="Times New Roman" w:cs="Times New Roman"/>
              </w:rPr>
            </w:pPr>
            <w:r w:rsidRPr="00446777">
              <w:rPr>
                <w:rFonts w:ascii="Times New Roman" w:hAnsi="Times New Roman" w:cs="Times New Roman"/>
                <w:b/>
                <w:bCs/>
              </w:rPr>
              <w:t>6.</w:t>
            </w:r>
            <w:r w:rsidRPr="00446777">
              <w:rPr>
                <w:rFonts w:ascii="Times New Roman" w:hAnsi="Times New Roman" w:cs="Times New Roman"/>
              </w:rPr>
              <w:t xml:space="preserve"> The responsibility for hosting, domain etc. is the responsibility of the online trading platform service provider. This should be part of the provider’s sustainability plan.</w:t>
            </w:r>
          </w:p>
          <w:p w14:paraId="04312315" w14:textId="77777777" w:rsidR="00446777" w:rsidRPr="00446777" w:rsidRDefault="00446777" w:rsidP="00CA1D57">
            <w:pPr>
              <w:rPr>
                <w:rFonts w:ascii="Times New Roman" w:hAnsi="Times New Roman" w:cs="Times New Roman"/>
              </w:rPr>
            </w:pPr>
          </w:p>
          <w:p w14:paraId="6C1B84CA" w14:textId="77777777" w:rsidR="00446777" w:rsidRPr="00446777" w:rsidRDefault="00446777" w:rsidP="00CA1D57">
            <w:pPr>
              <w:rPr>
                <w:rFonts w:ascii="Times New Roman" w:hAnsi="Times New Roman" w:cs="Times New Roman"/>
              </w:rPr>
            </w:pPr>
            <w:r w:rsidRPr="00446777">
              <w:rPr>
                <w:rFonts w:ascii="Times New Roman" w:hAnsi="Times New Roman" w:cs="Times New Roman"/>
              </w:rPr>
              <w:t xml:space="preserve">Although not restricted to others, the ideal online trading platform service provider should have demonstrated expertise - a proven track record in </w:t>
            </w:r>
            <w:r w:rsidRPr="00446777">
              <w:rPr>
                <w:rFonts w:ascii="Times New Roman" w:hAnsi="Times New Roman" w:cs="Times New Roman"/>
              </w:rPr>
              <w:lastRenderedPageBreak/>
              <w:t>managing an active online trading platform, preferably for machinery and equipment. The online trading platform service provider should have staff on board to provide necessary support to users of the platform in the three languages (Albanian, Macedonian, and Serbian). The first two initial languages will be Albanian and Macedonian.</w:t>
            </w:r>
          </w:p>
        </w:tc>
      </w:tr>
    </w:tbl>
    <w:p w14:paraId="07EE346D" w14:textId="77777777" w:rsidR="00C65365" w:rsidRPr="00446777" w:rsidRDefault="00C65365" w:rsidP="00446777">
      <w:pPr>
        <w:rPr>
          <w:rFonts w:ascii="Times New Roman" w:hAnsi="Times New Roman" w:cs="Times New Roman"/>
        </w:rPr>
      </w:pPr>
    </w:p>
    <w:sectPr w:rsidR="00C65365" w:rsidRPr="00446777" w:rsidSect="003302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E348" w14:textId="77777777" w:rsidR="00FA7CA0" w:rsidRDefault="00FA7CA0" w:rsidP="00330241">
      <w:pPr>
        <w:spacing w:after="0" w:line="240" w:lineRule="auto"/>
      </w:pPr>
      <w:r>
        <w:separator/>
      </w:r>
    </w:p>
  </w:endnote>
  <w:endnote w:type="continuationSeparator" w:id="0">
    <w:p w14:paraId="4F7FE3F3" w14:textId="77777777" w:rsidR="00FA7CA0" w:rsidRDefault="00FA7CA0" w:rsidP="00330241">
      <w:pPr>
        <w:spacing w:after="0" w:line="240" w:lineRule="auto"/>
      </w:pPr>
      <w:r>
        <w:continuationSeparator/>
      </w:r>
    </w:p>
  </w:endnote>
  <w:endnote w:type="continuationNotice" w:id="1">
    <w:p w14:paraId="0262194B" w14:textId="77777777" w:rsidR="00FA7CA0" w:rsidRDefault="00FA7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B2F2" w14:textId="77777777" w:rsidR="003C4BE6" w:rsidRDefault="003C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F9C0" w14:textId="2A243B47" w:rsidR="00330241" w:rsidRDefault="00377C15">
    <w:pPr>
      <w:pStyle w:val="Footer"/>
    </w:pPr>
    <w:r>
      <w:rPr>
        <w:noProof/>
      </w:rPr>
      <w:drawing>
        <wp:anchor distT="0" distB="0" distL="114300" distR="114300" simplePos="0" relativeHeight="251658241" behindDoc="0" locked="0" layoutInCell="1" allowOverlap="1" wp14:anchorId="22598C56" wp14:editId="78B31532">
          <wp:simplePos x="0" y="0"/>
          <wp:positionH relativeFrom="column">
            <wp:posOffset>-861060</wp:posOffset>
          </wp:positionH>
          <wp:positionV relativeFrom="paragraph">
            <wp:posOffset>-292735</wp:posOffset>
          </wp:positionV>
          <wp:extent cx="7830820"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30820" cy="7366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058D" w14:textId="77777777" w:rsidR="003C4BE6" w:rsidRDefault="003C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177D" w14:textId="77777777" w:rsidR="00FA7CA0" w:rsidRDefault="00FA7CA0" w:rsidP="00330241">
      <w:pPr>
        <w:spacing w:after="0" w:line="240" w:lineRule="auto"/>
      </w:pPr>
      <w:r>
        <w:separator/>
      </w:r>
    </w:p>
  </w:footnote>
  <w:footnote w:type="continuationSeparator" w:id="0">
    <w:p w14:paraId="62FF175E" w14:textId="77777777" w:rsidR="00FA7CA0" w:rsidRDefault="00FA7CA0" w:rsidP="00330241">
      <w:pPr>
        <w:spacing w:after="0" w:line="240" w:lineRule="auto"/>
      </w:pPr>
      <w:r>
        <w:continuationSeparator/>
      </w:r>
    </w:p>
  </w:footnote>
  <w:footnote w:type="continuationNotice" w:id="1">
    <w:p w14:paraId="2EC46F07" w14:textId="77777777" w:rsidR="00FA7CA0" w:rsidRDefault="00FA7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FCB5" w14:textId="77777777" w:rsidR="003C4BE6" w:rsidRDefault="003C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78B4" w14:textId="46FDFE28" w:rsidR="00330241" w:rsidRDefault="00377C15" w:rsidP="006B7DBF">
    <w:pPr>
      <w:pStyle w:val="Header"/>
      <w:tabs>
        <w:tab w:val="clear" w:pos="4680"/>
        <w:tab w:val="clear" w:pos="9360"/>
        <w:tab w:val="left" w:pos="8244"/>
      </w:tabs>
    </w:pPr>
    <w:r>
      <w:rPr>
        <w:noProof/>
      </w:rPr>
      <w:drawing>
        <wp:anchor distT="0" distB="0" distL="114300" distR="114300" simplePos="0" relativeHeight="251658240" behindDoc="0" locked="0" layoutInCell="1" allowOverlap="1" wp14:anchorId="61112428" wp14:editId="5457572E">
          <wp:simplePos x="0" y="0"/>
          <wp:positionH relativeFrom="column">
            <wp:posOffset>-897255</wp:posOffset>
          </wp:positionH>
          <wp:positionV relativeFrom="paragraph">
            <wp:posOffset>-419100</wp:posOffset>
          </wp:positionV>
          <wp:extent cx="5437734" cy="92851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37734" cy="928514"/>
                  </a:xfrm>
                  <a:prstGeom prst="rect">
                    <a:avLst/>
                  </a:prstGeom>
                </pic:spPr>
              </pic:pic>
            </a:graphicData>
          </a:graphic>
          <wp14:sizeRelH relativeFrom="page">
            <wp14:pctWidth>0</wp14:pctWidth>
          </wp14:sizeRelH>
          <wp14:sizeRelV relativeFrom="page">
            <wp14:pctHeight>0</wp14:pctHeight>
          </wp14:sizeRelV>
        </wp:anchor>
      </w:drawing>
    </w:r>
    <w:r w:rsidR="006B7DBF">
      <w:tab/>
    </w:r>
  </w:p>
  <w:p w14:paraId="190C1276" w14:textId="7F2CE8BE" w:rsidR="006B7DBF" w:rsidRDefault="006B7DBF" w:rsidP="006B7DBF">
    <w:pPr>
      <w:pStyle w:val="Header"/>
      <w:tabs>
        <w:tab w:val="clear" w:pos="4680"/>
        <w:tab w:val="clear" w:pos="9360"/>
        <w:tab w:val="left" w:pos="8244"/>
      </w:tabs>
    </w:pPr>
  </w:p>
  <w:p w14:paraId="78E9C3D8" w14:textId="3B0B3B5E" w:rsidR="006B7DBF" w:rsidRDefault="006B7DBF" w:rsidP="006B7DBF">
    <w:pPr>
      <w:pStyle w:val="Header"/>
      <w:tabs>
        <w:tab w:val="clear" w:pos="4680"/>
        <w:tab w:val="clear" w:pos="9360"/>
        <w:tab w:val="left" w:pos="8244"/>
      </w:tabs>
    </w:pPr>
  </w:p>
  <w:p w14:paraId="6E0BA97F" w14:textId="507254C3" w:rsidR="006B7DBF" w:rsidRDefault="006B7DBF" w:rsidP="006B7DBF">
    <w:pPr>
      <w:pStyle w:val="Header"/>
      <w:tabs>
        <w:tab w:val="clear" w:pos="4680"/>
        <w:tab w:val="clear" w:pos="9360"/>
        <w:tab w:val="left" w:pos="8244"/>
      </w:tabs>
    </w:pPr>
  </w:p>
  <w:p w14:paraId="4D2A9EC5" w14:textId="77777777" w:rsidR="006B7DBF" w:rsidRDefault="006B7DBF" w:rsidP="006B7DBF">
    <w:pPr>
      <w:pStyle w:val="Header"/>
      <w:tabs>
        <w:tab w:val="clear" w:pos="4680"/>
        <w:tab w:val="clear" w:pos="9360"/>
        <w:tab w:val="left" w:pos="82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B4E1" w14:textId="77777777" w:rsidR="003C4BE6" w:rsidRDefault="003C4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1NDEwMDe3NDSxNLZQ0lEKTi0uzszPAykwrgUAC0rmdSwAAAA="/>
  </w:docVars>
  <w:rsids>
    <w:rsidRoot w:val="00253B82"/>
    <w:rsid w:val="00033D3C"/>
    <w:rsid w:val="00114DC7"/>
    <w:rsid w:val="001278BA"/>
    <w:rsid w:val="00133EF5"/>
    <w:rsid w:val="001365ED"/>
    <w:rsid w:val="00204F96"/>
    <w:rsid w:val="00213A53"/>
    <w:rsid w:val="00253B82"/>
    <w:rsid w:val="00257501"/>
    <w:rsid w:val="00330241"/>
    <w:rsid w:val="00377C15"/>
    <w:rsid w:val="00381C74"/>
    <w:rsid w:val="003C4BE6"/>
    <w:rsid w:val="003F26B5"/>
    <w:rsid w:val="00436803"/>
    <w:rsid w:val="00446777"/>
    <w:rsid w:val="00466CC1"/>
    <w:rsid w:val="004978C3"/>
    <w:rsid w:val="006B7DBF"/>
    <w:rsid w:val="00760C97"/>
    <w:rsid w:val="007671FD"/>
    <w:rsid w:val="009E00E4"/>
    <w:rsid w:val="009F1C2C"/>
    <w:rsid w:val="00A74CC5"/>
    <w:rsid w:val="00A97CA1"/>
    <w:rsid w:val="00B46C93"/>
    <w:rsid w:val="00BA0142"/>
    <w:rsid w:val="00C2517C"/>
    <w:rsid w:val="00C65365"/>
    <w:rsid w:val="00CD0BA2"/>
    <w:rsid w:val="00D975B4"/>
    <w:rsid w:val="00E13380"/>
    <w:rsid w:val="00F37378"/>
    <w:rsid w:val="00F6228F"/>
    <w:rsid w:val="00FA7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289A"/>
  <w15:chartTrackingRefBased/>
  <w15:docId w15:val="{CCAE1E6F-84E3-4CE3-9350-19590A7E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41"/>
  </w:style>
  <w:style w:type="paragraph" w:styleId="Footer">
    <w:name w:val="footer"/>
    <w:basedOn w:val="Normal"/>
    <w:link w:val="FooterChar"/>
    <w:uiPriority w:val="99"/>
    <w:unhideWhenUsed/>
    <w:rsid w:val="0033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41"/>
  </w:style>
  <w:style w:type="paragraph" w:customStyle="1" w:styleId="rtejustify">
    <w:name w:val="rtejustify"/>
    <w:basedOn w:val="Normal"/>
    <w:rsid w:val="006B7D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DBF"/>
    <w:rPr>
      <w:b/>
      <w:bCs/>
    </w:rPr>
  </w:style>
  <w:style w:type="paragraph" w:styleId="NormalWeb">
    <w:name w:val="Normal (Web)"/>
    <w:basedOn w:val="Normal"/>
    <w:uiPriority w:val="99"/>
    <w:semiHidden/>
    <w:unhideWhenUsed/>
    <w:rsid w:val="006B7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7DBF"/>
    <w:rPr>
      <w:i/>
      <w:iCs/>
    </w:rPr>
  </w:style>
  <w:style w:type="paragraph" w:customStyle="1" w:styleId="rtecenter">
    <w:name w:val="rtecenter"/>
    <w:basedOn w:val="Normal"/>
    <w:rsid w:val="006B7D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67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8087">
      <w:bodyDiv w:val="1"/>
      <w:marLeft w:val="0"/>
      <w:marRight w:val="0"/>
      <w:marTop w:val="0"/>
      <w:marBottom w:val="0"/>
      <w:divBdr>
        <w:top w:val="none" w:sz="0" w:space="0" w:color="auto"/>
        <w:left w:val="none" w:sz="0" w:space="0" w:color="auto"/>
        <w:bottom w:val="none" w:sz="0" w:space="0" w:color="auto"/>
        <w:right w:val="none" w:sz="0" w:space="0" w:color="auto"/>
      </w:divBdr>
      <w:divsChild>
        <w:div w:id="135340268">
          <w:marLeft w:val="0"/>
          <w:marRight w:val="0"/>
          <w:marTop w:val="0"/>
          <w:marBottom w:val="0"/>
          <w:divBdr>
            <w:top w:val="none" w:sz="0" w:space="0" w:color="auto"/>
            <w:left w:val="none" w:sz="0" w:space="0" w:color="auto"/>
            <w:bottom w:val="none" w:sz="0" w:space="0" w:color="auto"/>
            <w:right w:val="none" w:sz="0" w:space="0" w:color="auto"/>
          </w:divBdr>
          <w:divsChild>
            <w:div w:id="1715739063">
              <w:marLeft w:val="0"/>
              <w:marRight w:val="0"/>
              <w:marTop w:val="0"/>
              <w:marBottom w:val="225"/>
              <w:divBdr>
                <w:top w:val="none" w:sz="0" w:space="0" w:color="auto"/>
                <w:left w:val="none" w:sz="0" w:space="0" w:color="auto"/>
                <w:bottom w:val="none" w:sz="0" w:space="0" w:color="auto"/>
                <w:right w:val="none" w:sz="0" w:space="0" w:color="auto"/>
              </w:divBdr>
              <w:divsChild>
                <w:div w:id="1153915052">
                  <w:marLeft w:val="0"/>
                  <w:marRight w:val="0"/>
                  <w:marTop w:val="0"/>
                  <w:marBottom w:val="0"/>
                  <w:divBdr>
                    <w:top w:val="none" w:sz="0" w:space="0" w:color="auto"/>
                    <w:left w:val="none" w:sz="0" w:space="0" w:color="auto"/>
                    <w:bottom w:val="none" w:sz="0" w:space="0" w:color="auto"/>
                    <w:right w:val="none" w:sz="0" w:space="0" w:color="auto"/>
                  </w:divBdr>
                  <w:divsChild>
                    <w:div w:id="5357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21b011-63fa-4292-a381-fa0f8642aebe"/>
    <lcf76f155ced4ddcb4097134ff3c332f xmlns="0012d995-6ebd-4339-a37f-d179ed502b28">
      <Terms xmlns="http://schemas.microsoft.com/office/infopath/2007/PartnerControls"/>
    </lcf76f155ced4ddcb4097134ff3c332f>
    <_Flow_SignoffStatus xmlns="0012d995-6ebd-4339-a37f-d179ed502b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5E1696EFFC3B489E9931C2ABE1A4FE" ma:contentTypeVersion="16" ma:contentTypeDescription="Create a new document." ma:contentTypeScope="" ma:versionID="59d6a784af02ef7be286bb2b22e1e4fa">
  <xsd:schema xmlns:xsd="http://www.w3.org/2001/XMLSchema" xmlns:xs="http://www.w3.org/2001/XMLSchema" xmlns:p="http://schemas.microsoft.com/office/2006/metadata/properties" xmlns:ns2="0012d995-6ebd-4339-a37f-d179ed502b28" xmlns:ns3="1721b011-63fa-4292-a381-fa0f8642aebe" targetNamespace="http://schemas.microsoft.com/office/2006/metadata/properties" ma:root="true" ma:fieldsID="59bb5ae1d16a54f0e7cd6a0152465c96" ns2:_="" ns3:_="">
    <xsd:import namespace="0012d995-6ebd-4339-a37f-d179ed502b28"/>
    <xsd:import namespace="1721b011-63fa-4292-a381-fa0f8642aeb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2d995-6ebd-4339-a37f-d179ed502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0dc793-49ba-40b7-a640-cb4de7c8c7e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1b011-63fa-4292-a381-fa0f8642aeb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a5c7c2e-817f-4d69-9585-f6c0a4e425bf}" ma:internalName="TaxCatchAll" ma:showField="CatchAllData" ma:web="1721b011-63fa-4292-a381-fa0f8642ae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8E0B2-DC57-4207-863F-EDE3D00B158F}">
  <ds:schemaRefs>
    <ds:schemaRef ds:uri="http://schemas.microsoft.com/sharepoint/v3/contenttype/forms"/>
  </ds:schemaRefs>
</ds:datastoreItem>
</file>

<file path=customXml/itemProps2.xml><?xml version="1.0" encoding="utf-8"?>
<ds:datastoreItem xmlns:ds="http://schemas.openxmlformats.org/officeDocument/2006/customXml" ds:itemID="{F87DF3A7-A064-4E7D-B8D7-BFC2FAC5A869}">
  <ds:schemaRefs>
    <ds:schemaRef ds:uri="http://purl.org/dc/terms/"/>
    <ds:schemaRef ds:uri="http://purl.org/dc/elements/1.1/"/>
    <ds:schemaRef ds:uri="1721b011-63fa-4292-a381-fa0f8642aebe"/>
    <ds:schemaRef ds:uri="0012d995-6ebd-4339-a37f-d179ed502b28"/>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B6D65AD-723C-404D-B3C9-070AEE534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2d995-6ebd-4339-a37f-d179ed502b28"/>
    <ds:schemaRef ds:uri="1721b011-63fa-4292-a381-fa0f8642a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Schmidt</dc:creator>
  <cp:keywords/>
  <dc:description/>
  <cp:lastModifiedBy>David Morgan</cp:lastModifiedBy>
  <cp:revision>2</cp:revision>
  <dcterms:created xsi:type="dcterms:W3CDTF">2023-11-13T20:15:00Z</dcterms:created>
  <dcterms:modified xsi:type="dcterms:W3CDTF">2023-11-13T20:15:00Z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0x0101007A5E1696EFFC3B489E9931C2ABE1A4FE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